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528"/>
      </w:tblGrid>
      <w:tr w:rsidR="00E3566D" w:rsidTr="00B04435">
        <w:tc>
          <w:tcPr>
            <w:tcW w:w="3970" w:type="dxa"/>
          </w:tcPr>
          <w:p w:rsidR="00E3566D" w:rsidRPr="00B04435" w:rsidRDefault="00E3566D" w:rsidP="00294A80">
            <w:pPr>
              <w:jc w:val="center"/>
              <w:rPr>
                <w:bCs/>
                <w:sz w:val="24"/>
                <w:szCs w:val="24"/>
              </w:rPr>
            </w:pPr>
            <w:bookmarkStart w:id="0" w:name="_GoBack"/>
            <w:bookmarkEnd w:id="0"/>
            <w:r w:rsidRPr="00B04435">
              <w:rPr>
                <w:bCs/>
                <w:sz w:val="24"/>
                <w:szCs w:val="24"/>
              </w:rPr>
              <w:t>ỦY BAN NHÂN DÂN</w:t>
            </w:r>
          </w:p>
          <w:p w:rsidR="00E3566D" w:rsidRPr="00B04435" w:rsidRDefault="00E3566D" w:rsidP="00294A80">
            <w:pPr>
              <w:jc w:val="center"/>
              <w:rPr>
                <w:bCs/>
                <w:sz w:val="24"/>
                <w:szCs w:val="24"/>
              </w:rPr>
            </w:pPr>
            <w:r w:rsidRPr="00B04435">
              <w:rPr>
                <w:bCs/>
                <w:sz w:val="24"/>
                <w:szCs w:val="24"/>
              </w:rPr>
              <w:t>THÀNH PHỐ HÀ NỘI</w:t>
            </w:r>
          </w:p>
          <w:p w:rsidR="00B04435" w:rsidRDefault="00B04435" w:rsidP="00B04435">
            <w:pPr>
              <w:jc w:val="center"/>
              <w:rPr>
                <w:b/>
                <w:bCs/>
                <w:sz w:val="24"/>
                <w:szCs w:val="24"/>
              </w:rPr>
            </w:pPr>
            <w:r>
              <w:rPr>
                <w:b/>
                <w:bCs/>
                <w:sz w:val="24"/>
                <w:szCs w:val="24"/>
              </w:rPr>
              <w:t>SỞ KHOA HỌC VÀ CÔNG NGHỆ</w:t>
            </w:r>
          </w:p>
          <w:p w:rsidR="00E3566D" w:rsidRDefault="00E3566D" w:rsidP="00294A80">
            <w:pPr>
              <w:rPr>
                <w:b/>
                <w:bCs/>
                <w:sz w:val="24"/>
                <w:szCs w:val="24"/>
              </w:rPr>
            </w:pPr>
            <w:r>
              <w:rPr>
                <w:rFonts w:asciiTheme="minorHAnsi" w:hAnsiTheme="minorHAnsi"/>
                <w:noProof/>
                <w:sz w:val="22"/>
              </w:rPr>
              <mc:AlternateContent>
                <mc:Choice Requires="wps">
                  <w:drawing>
                    <wp:anchor distT="4294967295" distB="4294967295" distL="114300" distR="114300" simplePos="0" relativeHeight="251659264" behindDoc="0" locked="0" layoutInCell="1" allowOverlap="1">
                      <wp:simplePos x="0" y="0"/>
                      <wp:positionH relativeFrom="column">
                        <wp:posOffset>232410</wp:posOffset>
                      </wp:positionH>
                      <wp:positionV relativeFrom="paragraph">
                        <wp:posOffset>34289</wp:posOffset>
                      </wp:positionV>
                      <wp:extent cx="14954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6BF69"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2.7pt" to="13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" strokecolor="#4472c4" strokeweight=".5pt">
                      <v:stroke joinstyle="miter"/>
                      <o:lock v:ext="edit" shapetype="f"/>
                    </v:line>
                  </w:pict>
                </mc:Fallback>
              </mc:AlternateContent>
            </w:r>
          </w:p>
        </w:tc>
        <w:tc>
          <w:tcPr>
            <w:tcW w:w="5528" w:type="dxa"/>
          </w:tcPr>
          <w:p w:rsidR="00E3566D" w:rsidRDefault="00E3566D" w:rsidP="00294A80">
            <w:pPr>
              <w:jc w:val="center"/>
              <w:rPr>
                <w:b/>
                <w:bCs/>
                <w:sz w:val="24"/>
                <w:szCs w:val="24"/>
              </w:rPr>
            </w:pPr>
            <w:r>
              <w:rPr>
                <w:b/>
                <w:bCs/>
                <w:sz w:val="24"/>
                <w:szCs w:val="24"/>
              </w:rPr>
              <w:t>CỘNG HÒA XÃ HỘI CHỦ NGHĨA VIỆT NAM</w:t>
            </w:r>
          </w:p>
          <w:p w:rsidR="00E3566D" w:rsidRDefault="00E3566D" w:rsidP="00294A80">
            <w:pPr>
              <w:jc w:val="center"/>
              <w:rPr>
                <w:b/>
                <w:bCs/>
                <w:sz w:val="24"/>
                <w:szCs w:val="24"/>
              </w:rPr>
            </w:pPr>
            <w:r>
              <w:rPr>
                <w:b/>
                <w:bCs/>
                <w:sz w:val="24"/>
                <w:szCs w:val="24"/>
              </w:rPr>
              <w:t>Độc lập - Tự do - Hạnh phúc</w:t>
            </w:r>
          </w:p>
          <w:p w:rsidR="00E3566D" w:rsidRDefault="00E3566D" w:rsidP="00294A80">
            <w:pPr>
              <w:jc w:val="center"/>
              <w:rPr>
                <w:b/>
                <w:bCs/>
                <w:sz w:val="24"/>
                <w:szCs w:val="24"/>
              </w:rPr>
            </w:pPr>
            <w:r>
              <w:rPr>
                <w:b/>
                <w:bCs/>
                <w:noProo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1183640</wp:posOffset>
                      </wp:positionH>
                      <wp:positionV relativeFrom="paragraph">
                        <wp:posOffset>53339</wp:posOffset>
                      </wp:positionV>
                      <wp:extent cx="14954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E0598" id="Straight Connector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2pt,4.2pt" to="21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" strokecolor="#4472c4" strokeweight=".5pt">
                      <v:stroke joinstyle="miter"/>
                      <o:lock v:ext="edit" shapetype="f"/>
                    </v:line>
                  </w:pict>
                </mc:Fallback>
              </mc:AlternateContent>
            </w:r>
          </w:p>
        </w:tc>
      </w:tr>
      <w:tr w:rsidR="00E3566D" w:rsidTr="00B04435">
        <w:tc>
          <w:tcPr>
            <w:tcW w:w="3970" w:type="dxa"/>
          </w:tcPr>
          <w:p w:rsidR="00E3566D" w:rsidRDefault="00E3566D" w:rsidP="00E3566D">
            <w:pPr>
              <w:jc w:val="center"/>
              <w:rPr>
                <w:sz w:val="26"/>
                <w:szCs w:val="26"/>
              </w:rPr>
            </w:pPr>
            <w:r>
              <w:rPr>
                <w:sz w:val="26"/>
                <w:szCs w:val="26"/>
              </w:rPr>
              <w:t>Số:           /TTr-SKHCN</w:t>
            </w:r>
          </w:p>
        </w:tc>
        <w:tc>
          <w:tcPr>
            <w:tcW w:w="5528" w:type="dxa"/>
          </w:tcPr>
          <w:p w:rsidR="00E3566D" w:rsidRDefault="00E3566D" w:rsidP="00294A80">
            <w:pPr>
              <w:jc w:val="center"/>
              <w:rPr>
                <w:i/>
                <w:iCs/>
                <w:sz w:val="26"/>
                <w:szCs w:val="26"/>
              </w:rPr>
            </w:pPr>
            <w:r>
              <w:rPr>
                <w:i/>
                <w:iCs/>
                <w:sz w:val="26"/>
                <w:szCs w:val="26"/>
              </w:rPr>
              <w:t>Hà Nội, ngày … tháng … năm 2026</w:t>
            </w:r>
          </w:p>
        </w:tc>
      </w:tr>
    </w:tbl>
    <w:p w:rsidR="00033BC8" w:rsidRPr="00033BC8" w:rsidRDefault="00033BC8" w:rsidP="00F1659D">
      <w:pPr>
        <w:spacing w:before="100" w:beforeAutospacing="1" w:after="100" w:afterAutospacing="1" w:line="240" w:lineRule="auto"/>
        <w:jc w:val="center"/>
        <w:outlineLvl w:val="0"/>
        <w:rPr>
          <w:rFonts w:eastAsia="Times New Roman" w:cs="Times New Roman"/>
          <w:b/>
          <w:bCs/>
          <w:kern w:val="36"/>
          <w:sz w:val="48"/>
          <w:szCs w:val="48"/>
        </w:rPr>
      </w:pPr>
      <w:r w:rsidRPr="00033BC8">
        <w:rPr>
          <w:rFonts w:eastAsia="Times New Roman" w:cs="Times New Roman"/>
          <w:b/>
          <w:bCs/>
          <w:kern w:val="36"/>
          <w:sz w:val="48"/>
          <w:szCs w:val="48"/>
        </w:rPr>
        <w:t>TỜ TRÌNH</w:t>
      </w:r>
    </w:p>
    <w:p w:rsidR="00404595" w:rsidRDefault="00033BC8" w:rsidP="00404595">
      <w:pPr>
        <w:spacing w:after="0" w:line="240" w:lineRule="auto"/>
        <w:jc w:val="center"/>
        <w:rPr>
          <w:rFonts w:eastAsia="Times New Roman" w:cs="Times New Roman"/>
          <w:b/>
          <w:bCs/>
          <w:szCs w:val="28"/>
        </w:rPr>
      </w:pPr>
      <w:r w:rsidRPr="00012154">
        <w:rPr>
          <w:rFonts w:eastAsia="Times New Roman" w:cs="Times New Roman"/>
          <w:b/>
          <w:bCs/>
          <w:szCs w:val="28"/>
        </w:rPr>
        <w:t xml:space="preserve">Về việc ban hành Quyết định quy định khoán chi trong thực hiện </w:t>
      </w:r>
    </w:p>
    <w:p w:rsidR="00033BC8" w:rsidRPr="00033BC8" w:rsidRDefault="00033BC8" w:rsidP="00404595">
      <w:pPr>
        <w:spacing w:after="0" w:line="240" w:lineRule="auto"/>
        <w:jc w:val="center"/>
        <w:rPr>
          <w:rFonts w:eastAsia="Times New Roman" w:cs="Times New Roman"/>
          <w:szCs w:val="28"/>
        </w:rPr>
      </w:pPr>
      <w:r w:rsidRPr="00012154">
        <w:rPr>
          <w:rFonts w:eastAsia="Times New Roman" w:cs="Times New Roman"/>
          <w:b/>
          <w:bCs/>
          <w:szCs w:val="28"/>
        </w:rPr>
        <w:t>nhiệm vụ khoa học, công nghệ và đổi mới sáng tạo có sử dụng ngân sách thành phố Hà Nội</w:t>
      </w:r>
    </w:p>
    <w:p w:rsidR="00033BC8" w:rsidRPr="00033BC8" w:rsidRDefault="00033BC8" w:rsidP="00F1659D">
      <w:pPr>
        <w:spacing w:before="100" w:beforeAutospacing="1" w:after="100" w:afterAutospacing="1" w:line="240" w:lineRule="auto"/>
        <w:jc w:val="center"/>
        <w:rPr>
          <w:rFonts w:eastAsia="Times New Roman" w:cs="Times New Roman"/>
          <w:szCs w:val="28"/>
        </w:rPr>
      </w:pPr>
      <w:r w:rsidRPr="00012154">
        <w:rPr>
          <w:rFonts w:eastAsia="Times New Roman" w:cs="Times New Roman"/>
          <w:b/>
          <w:bCs/>
          <w:szCs w:val="28"/>
        </w:rPr>
        <w:t>Kính gửi: Ủy ban nhân dân thành phố Hà Nội</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 xml:space="preserve">Căn cứ Luật Tổ chức chính quyền địa phương số 72/2025/QH15; </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 xml:space="preserve">Căn cứ Luật Ban hành văn bản quy phạm pháp luật số 64/2025/QH15 được sửa đổi, bổ sung bởi Luật số 87/2025/QH15; </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Luật Khoa học, công nghệ và đổi mới sáng tạo số 93/2025/QH15;</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 xml:space="preserve">Căn cứ Luật Ngân sách nhà nước số 89/2025/QH15; </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Luật Thủ đô số 02/2026/QH16;</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Luật Bảo vệ bí mật nhà nước số 29/2018/QH14;</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Nghị định số 265/2025/NĐ-CP của Chính phủ quy định chi tiết và hướng dẫn thi hành một số điều của Luật Khoa học, công nghệ và đổi mới sáng tạo về tài chính và đầu tư trong khoa học, công nghệ và đổi mới sáng tạo;</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Nghị định số 267/2025/NĐ-CP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Nghị định số 268/2025/NĐ-CP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sidR="00F1659D" w:rsidRPr="00F1659D" w:rsidRDefault="00F1659D" w:rsidP="00012154">
      <w:pPr>
        <w:spacing w:before="120" w:after="0" w:line="264" w:lineRule="auto"/>
        <w:ind w:firstLine="561"/>
        <w:jc w:val="both"/>
        <w:rPr>
          <w:rFonts w:cs="Times New Roman"/>
          <w:iCs/>
          <w:sz w:val="26"/>
          <w:szCs w:val="26"/>
        </w:rPr>
      </w:pPr>
      <w:r w:rsidRPr="00F1659D">
        <w:rPr>
          <w:rFonts w:cs="Times New Roman"/>
          <w:iCs/>
          <w:sz w:val="26"/>
          <w:szCs w:val="26"/>
        </w:rPr>
        <w:t>Căn cứ Thông tư số 39/2025/TT-BKHCN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rsidR="00F1659D" w:rsidRPr="00F1659D" w:rsidRDefault="00F1659D" w:rsidP="00012154">
      <w:pPr>
        <w:spacing w:before="120" w:after="0" w:line="264" w:lineRule="auto"/>
        <w:ind w:firstLine="561"/>
        <w:jc w:val="both"/>
        <w:rPr>
          <w:rFonts w:cs="Times New Roman"/>
          <w:iCs/>
          <w:color w:val="FF0000"/>
          <w:sz w:val="26"/>
          <w:szCs w:val="26"/>
        </w:rPr>
      </w:pPr>
      <w:r w:rsidRPr="00F1659D">
        <w:rPr>
          <w:rFonts w:cs="Times New Roman"/>
          <w:iCs/>
          <w:color w:val="FF0000"/>
          <w:sz w:val="26"/>
          <w:szCs w:val="26"/>
        </w:rPr>
        <w:t>Căn cứ Nghị quyết số …/2026/NQ-HĐND ngày … tháng … năm 2026 của Hội đồng nhân dân thành phố Hà Nội Quy định một số chính sách thúc đẩy nghiên cứu khoa học, phát triển công nghệ và chuyển giao công nghệ của thành phố Hà Nội;</w:t>
      </w:r>
    </w:p>
    <w:p w:rsidR="00033BC8" w:rsidRPr="00033BC8" w:rsidRDefault="00033BC8" w:rsidP="00012154">
      <w:pPr>
        <w:spacing w:before="120" w:after="0" w:line="264" w:lineRule="auto"/>
        <w:ind w:firstLine="561"/>
        <w:jc w:val="both"/>
        <w:rPr>
          <w:rFonts w:cs="Times New Roman"/>
          <w:iCs/>
          <w:sz w:val="26"/>
          <w:szCs w:val="26"/>
        </w:rPr>
      </w:pPr>
      <w:r w:rsidRPr="00033BC8">
        <w:rPr>
          <w:rFonts w:cs="Times New Roman"/>
          <w:iCs/>
          <w:sz w:val="26"/>
          <w:szCs w:val="26"/>
        </w:rPr>
        <w:lastRenderedPageBreak/>
        <w:t>Sở Khoa học và Công nghệ kính trình Ủy ban nhân dân Thành phố ban hành Quyết định quy định khoán chi trong thực hiện nhiệm vụ khoa học, công nghệ và đổi mới sáng tạo có sử dụng ngân sách thành phố Hà Nội với những nội dung chủ yếu như sau:</w:t>
      </w:r>
    </w:p>
    <w:p w:rsidR="00033BC8" w:rsidRPr="00033BC8" w:rsidRDefault="00033BC8" w:rsidP="00033BC8">
      <w:pPr>
        <w:spacing w:before="100" w:beforeAutospacing="1" w:after="100" w:afterAutospacing="1" w:line="240" w:lineRule="auto"/>
        <w:outlineLvl w:val="1"/>
        <w:rPr>
          <w:rFonts w:eastAsia="Times New Roman" w:cs="Times New Roman"/>
          <w:b/>
          <w:bCs/>
          <w:sz w:val="26"/>
          <w:szCs w:val="26"/>
        </w:rPr>
      </w:pPr>
      <w:r w:rsidRPr="00033BC8">
        <w:rPr>
          <w:rFonts w:eastAsia="Times New Roman" w:cs="Times New Roman"/>
          <w:b/>
          <w:bCs/>
          <w:sz w:val="26"/>
          <w:szCs w:val="26"/>
        </w:rPr>
        <w:t>I. SỰ CẦN THIẾT BAN HÀNH QUYẾT ĐỊNH</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 xml:space="preserve">Ngày </w:t>
      </w:r>
      <w:r w:rsidR="00012154">
        <w:rPr>
          <w:rFonts w:eastAsia="Times New Roman" w:cs="Times New Roman"/>
          <w:szCs w:val="28"/>
        </w:rPr>
        <w:t>27</w:t>
      </w:r>
      <w:r w:rsidRPr="00033BC8">
        <w:rPr>
          <w:rFonts w:eastAsia="Times New Roman" w:cs="Times New Roman"/>
          <w:szCs w:val="28"/>
        </w:rPr>
        <w:t xml:space="preserve"> tháng </w:t>
      </w:r>
      <w:r w:rsidR="00012154">
        <w:rPr>
          <w:rFonts w:eastAsia="Times New Roman" w:cs="Times New Roman"/>
          <w:szCs w:val="28"/>
        </w:rPr>
        <w:t>6</w:t>
      </w:r>
      <w:r w:rsidRPr="00033BC8">
        <w:rPr>
          <w:rFonts w:eastAsia="Times New Roman" w:cs="Times New Roman"/>
          <w:szCs w:val="28"/>
        </w:rPr>
        <w:t xml:space="preserve"> năm 2025, Quốc hội đã thông qua Luật Khoa học, công nghệ và đổi mới sáng tạo, trong đó quy định cơ chế khoán chi là một trong những giải pháp quan trọng nhằm đổi mới phương thức quản lý tài chính đối với nhiệm vụ khoa học, công nghệ và đổi mới sáng tạo theo hướng lấy kết quả đầu ra làm căn cứ chủ yếu để giao kinh phí, thanh toán, quyết toán và đánh giá hiệu quả sử dụng ngân sách nhà nước.</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Để triển khai thi hành Luật, Chính phủ đã ban hành Nghị định số 265/2025/NĐ-CP, Nghị định số 267/2025/NĐ-CP và Nghị định số 268/2025/NĐ-CP; Bộ Khoa học và Công nghệ ban hành Thông tư số 39/2025/TT-BKHCN hướng dẫn việc lập dự toán, quản lý sử dụng và quyết toán kinh phí thực hiện nhiệm vụ khoa học, công nghệ và đổi mới sáng tạo.</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B</w:t>
      </w:r>
      <w:r w:rsidR="006563CE">
        <w:rPr>
          <w:rFonts w:eastAsia="Times New Roman" w:cs="Times New Roman"/>
          <w:szCs w:val="28"/>
        </w:rPr>
        <w:t>ên cạnh đó, Luật Thủ đô năm 2026</w:t>
      </w:r>
      <w:r w:rsidRPr="00033BC8">
        <w:rPr>
          <w:rFonts w:eastAsia="Times New Roman" w:cs="Times New Roman"/>
          <w:szCs w:val="28"/>
        </w:rPr>
        <w:t xml:space="preserve"> và Nghị quyết của Hội đồng nhân dân thành phố Hà Nội về chính sách thúc đẩy nghiên cứu khoa học, phát triển công nghệ và chuyển giao công nghệ đã tạo cơ sở pháp lý để Thành phố ban hành các cơ chế, chính sách đặc thù nhằm nâng cao hiệu quả đầu tư cho khoa học, công nghệ và đổi mới sáng tạo.</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Tuy nhiên, hiện nay thành phố Hà Nội chưa có văn bản quy phạm pháp luật quy định cụ thể việc áp dụng cơ chế khoán chi trong thực hiện nhiệm vụ khoa học, công nghệ và đổi mới sáng tạo sử dụng ngân sách Thành phố. Việc ban hành Quyết định là cần thiết nhằm:</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Cụ thể hóa các quy định của Luật, Nghị định và Nghị quyết của Hội đồng nhân dân Thành phố;</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Tăng quyền tự chủ, tự chịu trách nhiệm của tổ chức chủ trì và chủ nhiệm nhiệm vụ;</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Chuyển từ quản lý theo đầu vào sang quản lý theo kết quả đầu ra;</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Nâng cao hiệu quả sử dụng ngân sách nhà nước;</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Khuyến khích đổi mới sáng tạo, chấp nhận rủi ro hợp lý trong nghiên cứu khoa học và phát triển công nghệ.</w:t>
      </w:r>
    </w:p>
    <w:p w:rsidR="00033BC8" w:rsidRPr="00033BC8" w:rsidRDefault="00033BC8" w:rsidP="00012154">
      <w:pPr>
        <w:spacing w:before="100" w:beforeAutospacing="1" w:after="100" w:afterAutospacing="1" w:line="240" w:lineRule="auto"/>
        <w:jc w:val="both"/>
        <w:outlineLvl w:val="1"/>
        <w:rPr>
          <w:rFonts w:eastAsia="Times New Roman" w:cs="Times New Roman"/>
          <w:b/>
          <w:bCs/>
          <w:sz w:val="26"/>
          <w:szCs w:val="26"/>
        </w:rPr>
      </w:pPr>
      <w:r w:rsidRPr="00033BC8">
        <w:rPr>
          <w:rFonts w:eastAsia="Times New Roman" w:cs="Times New Roman"/>
          <w:b/>
          <w:bCs/>
          <w:sz w:val="26"/>
          <w:szCs w:val="26"/>
        </w:rPr>
        <w:t>II. QUÁ TRÌNH XÂY DỰNG DỰ THẢO</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lastRenderedPageBreak/>
        <w:t>Sở Khoa học và Công nghệ đã tổ chức xây dựng dự thảo Quyết định theo quy định của Luật Ban hành văn bản quy phạm pháp luật.</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 xml:space="preserve">Trong quá trình xây dựng, </w:t>
      </w:r>
      <w:r w:rsidR="00F020C6">
        <w:rPr>
          <w:rFonts w:eastAsia="Times New Roman" w:cs="Times New Roman"/>
          <w:szCs w:val="28"/>
        </w:rPr>
        <w:t>đơn vị soạn thảo</w:t>
      </w:r>
      <w:r w:rsidRPr="00033BC8">
        <w:rPr>
          <w:rFonts w:eastAsia="Times New Roman" w:cs="Times New Roman"/>
          <w:szCs w:val="28"/>
        </w:rPr>
        <w:t xml:space="preserve"> đã lấy ý kiến</w:t>
      </w:r>
      <w:r w:rsidR="00F020C6">
        <w:rPr>
          <w:rFonts w:eastAsia="Times New Roman" w:cs="Times New Roman"/>
          <w:szCs w:val="28"/>
        </w:rPr>
        <w:t xml:space="preserve"> các phòng chuyên môn thuộc Sở</w:t>
      </w:r>
      <w:r w:rsidRPr="00033BC8">
        <w:rPr>
          <w:rFonts w:eastAsia="Times New Roman" w:cs="Times New Roman"/>
          <w:szCs w:val="28"/>
        </w:rPr>
        <w:t>; đồng thời tiếp thu, hoàn thiện hồ sơ dự thảo.</w:t>
      </w:r>
    </w:p>
    <w:p w:rsidR="00033BC8" w:rsidRPr="00033BC8" w:rsidRDefault="00F020C6" w:rsidP="00012154">
      <w:pPr>
        <w:spacing w:before="100" w:beforeAutospacing="1" w:after="100" w:afterAutospacing="1" w:line="240" w:lineRule="auto"/>
        <w:jc w:val="both"/>
        <w:outlineLvl w:val="1"/>
        <w:rPr>
          <w:rFonts w:eastAsia="Times New Roman" w:cs="Times New Roman"/>
          <w:b/>
          <w:bCs/>
          <w:sz w:val="26"/>
          <w:szCs w:val="26"/>
        </w:rPr>
      </w:pPr>
      <w:r>
        <w:rPr>
          <w:rFonts w:eastAsia="Times New Roman" w:cs="Times New Roman"/>
          <w:b/>
          <w:bCs/>
          <w:sz w:val="26"/>
          <w:szCs w:val="26"/>
        </w:rPr>
        <w:t>I</w:t>
      </w:r>
      <w:r w:rsidR="00033BC8" w:rsidRPr="00033BC8">
        <w:rPr>
          <w:rFonts w:eastAsia="Times New Roman" w:cs="Times New Roman"/>
          <w:b/>
          <w:bCs/>
          <w:sz w:val="26"/>
          <w:szCs w:val="26"/>
        </w:rPr>
        <w:t>II. NỘI DUNG CHỦ YẾU CỦA DỰ THẢO</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Dự thảo Quyết định gồm 03 Điều; Quy định ban hành kèm theo gồm 06 Chương, 25 Điều.</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Các nội dung chính bao gồm:</w:t>
      </w:r>
    </w:p>
    <w:p w:rsidR="00033BC8" w:rsidRPr="00033BC8" w:rsidRDefault="00F020C6"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Quy định phạm vi điều chỉnh, đối tượng áp dụng và nguyên tắc khoán chi.</w:t>
      </w:r>
    </w:p>
    <w:p w:rsidR="00033BC8" w:rsidRPr="00033BC8" w:rsidRDefault="00F020C6"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Quy định phương thức khoán chi, điều kiện áp dụng và phạm vi các nội dung được thực hiện khoán chi.</w:t>
      </w:r>
    </w:p>
    <w:p w:rsidR="00033BC8" w:rsidRPr="00033BC8" w:rsidRDefault="00F020C6"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Quy định việc lập, thẩm định, phê duyệt, điều chỉnh dự toán kinh phí khoán; cơ chế áp dụng hệ số điều chỉnh đối với một số nhiệm vụ trọng điểm.</w:t>
      </w:r>
    </w:p>
    <w:p w:rsidR="00033BC8" w:rsidRPr="00033BC8" w:rsidRDefault="00F020C6"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Quy định về cấp kinh phí, thanh toán, quyết toán và quản lý kinh phí khoán còn dư.</w:t>
      </w:r>
    </w:p>
    <w:p w:rsidR="00033BC8" w:rsidRPr="00033BC8" w:rsidRDefault="00F020C6"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Quy định về kiểm tra, giám sát, công khai, minh bạch, quản trị rủi ro và cơ chế chấp nhận rủi ro hợp lý trong nghiên cứu khoa học và đổi mới sáng tạo.</w:t>
      </w:r>
    </w:p>
    <w:p w:rsidR="00033BC8" w:rsidRPr="00033BC8" w:rsidRDefault="00F020C6"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 </w:t>
      </w:r>
      <w:r w:rsidR="00033BC8" w:rsidRPr="00033BC8">
        <w:rPr>
          <w:rFonts w:eastAsia="Times New Roman" w:cs="Times New Roman"/>
          <w:szCs w:val="28"/>
        </w:rPr>
        <w:t>Quy định trách nhiệm của các cơ quan, tổ chức, cá nhân trong quá trình tổ chức thực hiện.</w:t>
      </w:r>
    </w:p>
    <w:p w:rsidR="00033BC8" w:rsidRPr="00033BC8" w:rsidRDefault="00033BC8" w:rsidP="00012154">
      <w:pPr>
        <w:spacing w:before="100" w:beforeAutospacing="1" w:after="100" w:afterAutospacing="1" w:line="240" w:lineRule="auto"/>
        <w:jc w:val="both"/>
        <w:outlineLvl w:val="1"/>
        <w:rPr>
          <w:rFonts w:eastAsia="Times New Roman" w:cs="Times New Roman"/>
          <w:b/>
          <w:bCs/>
          <w:sz w:val="26"/>
          <w:szCs w:val="26"/>
        </w:rPr>
      </w:pPr>
      <w:r w:rsidRPr="00033BC8">
        <w:rPr>
          <w:rFonts w:eastAsia="Times New Roman" w:cs="Times New Roman"/>
          <w:b/>
          <w:bCs/>
          <w:sz w:val="26"/>
          <w:szCs w:val="26"/>
        </w:rPr>
        <w:t>IV. TÍNH HỢP HIẾN, HỢP PHÁP VÀ TÍNH THỐNG NHẤT</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Dự thảo Quyết định được xây dựng trên cơ sở các quy định của Luật Khoa học, công nghệ và đổi mới sáng tạo, Luật Ngân sách nhà nước, Luật Thủ đô và các văn bản hướng dẫn thi hành; bảo đảm tính hợp hiến, hợp pháp, tính thống nhất trong hệ thống pháp luật và phù hợp với điều kiện thực tiễn của thành phố Hà Nội.</w:t>
      </w:r>
    </w:p>
    <w:p w:rsidR="00033BC8" w:rsidRPr="00033BC8" w:rsidRDefault="00033BC8" w:rsidP="00012154">
      <w:pPr>
        <w:spacing w:before="100" w:beforeAutospacing="1" w:after="100" w:afterAutospacing="1" w:line="240" w:lineRule="auto"/>
        <w:jc w:val="both"/>
        <w:outlineLvl w:val="1"/>
        <w:rPr>
          <w:rFonts w:eastAsia="Times New Roman" w:cs="Times New Roman"/>
          <w:b/>
          <w:bCs/>
          <w:sz w:val="26"/>
          <w:szCs w:val="26"/>
        </w:rPr>
      </w:pPr>
      <w:r w:rsidRPr="00033BC8">
        <w:rPr>
          <w:rFonts w:eastAsia="Times New Roman" w:cs="Times New Roman"/>
          <w:b/>
          <w:bCs/>
          <w:sz w:val="26"/>
          <w:szCs w:val="26"/>
        </w:rPr>
        <w:t>V. HỒ SƠ KÈM THEO</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1. </w:t>
      </w:r>
      <w:r w:rsidR="00033BC8" w:rsidRPr="00033BC8">
        <w:rPr>
          <w:rFonts w:eastAsia="Times New Roman" w:cs="Times New Roman"/>
          <w:szCs w:val="28"/>
        </w:rPr>
        <w:t>Dự thảo Quyết định của UBND Thành phố;</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t xml:space="preserve">2. </w:t>
      </w:r>
      <w:r w:rsidR="00033BC8" w:rsidRPr="00033BC8">
        <w:rPr>
          <w:rFonts w:eastAsia="Times New Roman" w:cs="Times New Roman"/>
          <w:szCs w:val="28"/>
        </w:rPr>
        <w:t>Dự thảo Quy định ban hành kèm theo Quyết định;</w:t>
      </w:r>
    </w:p>
    <w:p w:rsidR="00033BC8" w:rsidRPr="001F4E01" w:rsidRDefault="006563CE" w:rsidP="006563CE">
      <w:pPr>
        <w:spacing w:before="120" w:after="0" w:line="288" w:lineRule="auto"/>
        <w:ind w:firstLine="567"/>
        <w:jc w:val="both"/>
        <w:rPr>
          <w:rFonts w:eastAsia="Times New Roman" w:cs="Times New Roman"/>
          <w:color w:val="FF0000"/>
          <w:szCs w:val="28"/>
        </w:rPr>
      </w:pPr>
      <w:r w:rsidRPr="001F4E01">
        <w:rPr>
          <w:rFonts w:eastAsia="Times New Roman" w:cs="Times New Roman"/>
          <w:color w:val="FF0000"/>
          <w:szCs w:val="28"/>
        </w:rPr>
        <w:t xml:space="preserve">3. </w:t>
      </w:r>
      <w:r w:rsidR="00033BC8" w:rsidRPr="001F4E01">
        <w:rPr>
          <w:rFonts w:eastAsia="Times New Roman" w:cs="Times New Roman"/>
          <w:color w:val="FF0000"/>
          <w:szCs w:val="28"/>
        </w:rPr>
        <w:t>Báo cáo tổng hợp, giải trình, tiếp thu ý kiến góp ý;</w:t>
      </w:r>
    </w:p>
    <w:p w:rsidR="00033BC8" w:rsidRPr="001F4E01" w:rsidRDefault="006563CE" w:rsidP="006563CE">
      <w:pPr>
        <w:spacing w:before="120" w:after="0" w:line="288" w:lineRule="auto"/>
        <w:ind w:firstLine="567"/>
        <w:jc w:val="both"/>
        <w:rPr>
          <w:rFonts w:eastAsia="Times New Roman" w:cs="Times New Roman"/>
          <w:color w:val="FF0000"/>
          <w:szCs w:val="28"/>
        </w:rPr>
      </w:pPr>
      <w:r w:rsidRPr="001F4E01">
        <w:rPr>
          <w:rFonts w:eastAsia="Times New Roman" w:cs="Times New Roman"/>
          <w:color w:val="FF0000"/>
          <w:szCs w:val="28"/>
        </w:rPr>
        <w:t xml:space="preserve">4. </w:t>
      </w:r>
      <w:r w:rsidR="00033BC8" w:rsidRPr="001F4E01">
        <w:rPr>
          <w:rFonts w:eastAsia="Times New Roman" w:cs="Times New Roman"/>
          <w:color w:val="FF0000"/>
          <w:szCs w:val="28"/>
        </w:rPr>
        <w:t>Báo cáo thẩm định của Sở Tư pháp;</w:t>
      </w:r>
    </w:p>
    <w:p w:rsidR="00033BC8" w:rsidRPr="001F4E01" w:rsidRDefault="006563CE" w:rsidP="006563CE">
      <w:pPr>
        <w:spacing w:before="120" w:after="0" w:line="288" w:lineRule="auto"/>
        <w:ind w:firstLine="567"/>
        <w:jc w:val="both"/>
        <w:rPr>
          <w:rFonts w:eastAsia="Times New Roman" w:cs="Times New Roman"/>
          <w:color w:val="FF0000"/>
          <w:szCs w:val="28"/>
        </w:rPr>
      </w:pPr>
      <w:r w:rsidRPr="001F4E01">
        <w:rPr>
          <w:rFonts w:eastAsia="Times New Roman" w:cs="Times New Roman"/>
          <w:color w:val="FF0000"/>
          <w:szCs w:val="28"/>
        </w:rPr>
        <w:t xml:space="preserve">5. </w:t>
      </w:r>
      <w:r w:rsidR="00033BC8" w:rsidRPr="001F4E01">
        <w:rPr>
          <w:rFonts w:eastAsia="Times New Roman" w:cs="Times New Roman"/>
          <w:color w:val="FF0000"/>
          <w:szCs w:val="28"/>
        </w:rPr>
        <w:t>Báo cáo tiếp thu, giải trình ý kiến thẩm định;</w:t>
      </w:r>
    </w:p>
    <w:p w:rsidR="00033BC8" w:rsidRPr="00033BC8" w:rsidRDefault="006563CE" w:rsidP="006563CE">
      <w:pPr>
        <w:spacing w:before="120" w:after="0" w:line="288" w:lineRule="auto"/>
        <w:ind w:firstLine="567"/>
        <w:jc w:val="both"/>
        <w:rPr>
          <w:rFonts w:eastAsia="Times New Roman" w:cs="Times New Roman"/>
          <w:szCs w:val="28"/>
        </w:rPr>
      </w:pPr>
      <w:r>
        <w:rPr>
          <w:rFonts w:eastAsia="Times New Roman" w:cs="Times New Roman"/>
          <w:szCs w:val="28"/>
        </w:rPr>
        <w:lastRenderedPageBreak/>
        <w:t xml:space="preserve">6. </w:t>
      </w:r>
      <w:r w:rsidR="00033BC8" w:rsidRPr="00033BC8">
        <w:rPr>
          <w:rFonts w:eastAsia="Times New Roman" w:cs="Times New Roman"/>
          <w:szCs w:val="28"/>
        </w:rPr>
        <w:t>Các tài liệu có liên quan.</w:t>
      </w:r>
    </w:p>
    <w:p w:rsidR="00033BC8" w:rsidRP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Sở Khoa học và Công nghệ kính trình Ủy ban nhân dân thành phố Hà Nội xem xét, ban hành Quyết định quy định khoán chi trong thực hiện nhiệm vụ khoa học, công nghệ và đổi mới sáng tạo có sử dụng ngân sách thành phố Hà Nội.</w:t>
      </w:r>
    </w:p>
    <w:p w:rsidR="00033BC8" w:rsidRDefault="00033BC8" w:rsidP="006563CE">
      <w:pPr>
        <w:spacing w:before="120" w:after="0" w:line="288" w:lineRule="auto"/>
        <w:ind w:firstLine="567"/>
        <w:jc w:val="both"/>
        <w:rPr>
          <w:rFonts w:eastAsia="Times New Roman" w:cs="Times New Roman"/>
          <w:szCs w:val="28"/>
        </w:rPr>
      </w:pPr>
      <w:r w:rsidRPr="00033BC8">
        <w:rPr>
          <w:rFonts w:eastAsia="Times New Roman" w:cs="Times New Roman"/>
          <w:szCs w:val="28"/>
        </w:rPr>
        <w:t>Xin trân trọng kính trình./.</w:t>
      </w:r>
    </w:p>
    <w:p w:rsidR="00033BC8" w:rsidRDefault="00033BC8" w:rsidP="00895386">
      <w:pPr>
        <w:spacing w:after="0" w:line="240" w:lineRule="auto"/>
        <w:jc w:val="both"/>
        <w:rPr>
          <w:rFonts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0F3A" w:rsidTr="00AD0F3A">
        <w:tc>
          <w:tcPr>
            <w:tcW w:w="4531" w:type="dxa"/>
          </w:tcPr>
          <w:p w:rsidR="00AD0F3A" w:rsidRPr="00033BC8" w:rsidRDefault="00AD0F3A" w:rsidP="00AD0F3A">
            <w:pPr>
              <w:jc w:val="both"/>
              <w:rPr>
                <w:rFonts w:eastAsiaTheme="minorHAnsi"/>
                <w:b/>
                <w:bCs/>
                <w:i/>
                <w:iCs/>
                <w:sz w:val="22"/>
                <w:szCs w:val="22"/>
              </w:rPr>
            </w:pPr>
            <w:r w:rsidRPr="00033BC8">
              <w:rPr>
                <w:rFonts w:eastAsiaTheme="minorHAnsi"/>
                <w:b/>
                <w:bCs/>
                <w:i/>
                <w:iCs/>
                <w:sz w:val="22"/>
                <w:szCs w:val="22"/>
              </w:rPr>
              <w:t>Nơi nhận:</w:t>
            </w:r>
          </w:p>
          <w:p w:rsidR="00AD0F3A" w:rsidRPr="00033BC8" w:rsidRDefault="00AD0F3A" w:rsidP="00AD0F3A">
            <w:pPr>
              <w:jc w:val="both"/>
              <w:rPr>
                <w:rFonts w:eastAsiaTheme="minorHAnsi"/>
                <w:sz w:val="22"/>
                <w:szCs w:val="22"/>
              </w:rPr>
            </w:pPr>
            <w:r>
              <w:rPr>
                <w:sz w:val="22"/>
              </w:rPr>
              <w:t xml:space="preserve">- </w:t>
            </w:r>
            <w:r w:rsidRPr="00033BC8">
              <w:rPr>
                <w:rFonts w:eastAsiaTheme="minorHAnsi"/>
                <w:sz w:val="22"/>
                <w:szCs w:val="22"/>
              </w:rPr>
              <w:t>Như trên;</w:t>
            </w:r>
          </w:p>
          <w:p w:rsidR="00AD0F3A" w:rsidRPr="00033BC8" w:rsidRDefault="00AD0F3A" w:rsidP="00AD0F3A">
            <w:pPr>
              <w:jc w:val="both"/>
              <w:rPr>
                <w:rFonts w:eastAsiaTheme="minorHAnsi"/>
                <w:sz w:val="22"/>
                <w:szCs w:val="22"/>
              </w:rPr>
            </w:pPr>
            <w:r>
              <w:rPr>
                <w:sz w:val="22"/>
              </w:rPr>
              <w:t xml:space="preserve">- </w:t>
            </w:r>
            <w:r w:rsidRPr="00033BC8">
              <w:rPr>
                <w:rFonts w:eastAsiaTheme="minorHAnsi"/>
                <w:sz w:val="22"/>
                <w:szCs w:val="22"/>
              </w:rPr>
              <w:t>Chủ tịch UBND Thành phố (để báo cáo);</w:t>
            </w:r>
          </w:p>
          <w:p w:rsidR="00AD0F3A" w:rsidRPr="00033BC8" w:rsidRDefault="00AD0F3A" w:rsidP="00AD0F3A">
            <w:pPr>
              <w:jc w:val="both"/>
              <w:rPr>
                <w:rFonts w:eastAsiaTheme="minorHAnsi"/>
                <w:sz w:val="22"/>
                <w:szCs w:val="22"/>
              </w:rPr>
            </w:pPr>
            <w:r>
              <w:rPr>
                <w:sz w:val="22"/>
              </w:rPr>
              <w:t xml:space="preserve">- </w:t>
            </w:r>
            <w:r w:rsidRPr="00033BC8">
              <w:rPr>
                <w:rFonts w:eastAsiaTheme="minorHAnsi"/>
                <w:sz w:val="22"/>
                <w:szCs w:val="22"/>
              </w:rPr>
              <w:t>Các Phó Chủ tịch UBND Thành phố;</w:t>
            </w:r>
          </w:p>
          <w:p w:rsidR="00AD0F3A" w:rsidRDefault="00AD0F3A" w:rsidP="00AD0F3A">
            <w:pPr>
              <w:jc w:val="both"/>
              <w:rPr>
                <w:sz w:val="22"/>
              </w:rPr>
            </w:pPr>
            <w:r>
              <w:rPr>
                <w:sz w:val="22"/>
              </w:rPr>
              <w:t xml:space="preserve">- </w:t>
            </w:r>
            <w:r w:rsidR="00801DA8">
              <w:rPr>
                <w:rFonts w:eastAsiaTheme="minorHAnsi"/>
                <w:sz w:val="22"/>
                <w:szCs w:val="22"/>
              </w:rPr>
              <w:t>Lưu: VT, KHCN</w:t>
            </w:r>
          </w:p>
        </w:tc>
        <w:tc>
          <w:tcPr>
            <w:tcW w:w="4531" w:type="dxa"/>
          </w:tcPr>
          <w:p w:rsidR="00AD0F3A" w:rsidRPr="00033BC8" w:rsidRDefault="00AD0F3A" w:rsidP="00AD0F3A">
            <w:pPr>
              <w:jc w:val="center"/>
              <w:rPr>
                <w:rFonts w:eastAsia="Times New Roman"/>
                <w:b/>
                <w:sz w:val="24"/>
                <w:szCs w:val="24"/>
              </w:rPr>
            </w:pPr>
            <w:r w:rsidRPr="00033BC8">
              <w:rPr>
                <w:rFonts w:eastAsia="Times New Roman"/>
                <w:b/>
                <w:sz w:val="24"/>
                <w:szCs w:val="24"/>
              </w:rPr>
              <w:t>GIÁM ĐỐC</w:t>
            </w:r>
            <w:r w:rsidRPr="00033BC8">
              <w:rPr>
                <w:rFonts w:eastAsia="Times New Roman"/>
                <w:b/>
                <w:sz w:val="24"/>
                <w:szCs w:val="24"/>
              </w:rPr>
              <w:br/>
              <w:t>SỞ KHOA HỌC VÀ CÔNG NGHỆ</w:t>
            </w:r>
          </w:p>
          <w:p w:rsidR="00AD0F3A" w:rsidRDefault="00AD0F3A" w:rsidP="00AD0F3A">
            <w:pPr>
              <w:jc w:val="center"/>
              <w:rPr>
                <w:rFonts w:eastAsia="Times New Roman"/>
                <w:sz w:val="28"/>
                <w:szCs w:val="28"/>
              </w:rPr>
            </w:pPr>
          </w:p>
          <w:p w:rsidR="00AD0F3A" w:rsidRDefault="00AD0F3A" w:rsidP="00AD0F3A">
            <w:pPr>
              <w:jc w:val="center"/>
              <w:rPr>
                <w:rFonts w:eastAsia="Times New Roman"/>
                <w:sz w:val="28"/>
                <w:szCs w:val="28"/>
              </w:rPr>
            </w:pPr>
          </w:p>
          <w:p w:rsidR="00AD0F3A" w:rsidRDefault="00AD0F3A" w:rsidP="00AD0F3A">
            <w:pPr>
              <w:jc w:val="center"/>
              <w:rPr>
                <w:rFonts w:eastAsia="Times New Roman"/>
                <w:sz w:val="28"/>
                <w:szCs w:val="28"/>
              </w:rPr>
            </w:pPr>
          </w:p>
          <w:p w:rsidR="00AD0F3A" w:rsidRDefault="00AD0F3A" w:rsidP="00AD0F3A">
            <w:pPr>
              <w:jc w:val="center"/>
              <w:rPr>
                <w:rFonts w:eastAsia="Times New Roman"/>
                <w:sz w:val="28"/>
                <w:szCs w:val="28"/>
              </w:rPr>
            </w:pPr>
          </w:p>
          <w:p w:rsidR="00AD0F3A" w:rsidRDefault="00AD0F3A" w:rsidP="00AD0F3A">
            <w:pPr>
              <w:jc w:val="center"/>
              <w:rPr>
                <w:rFonts w:eastAsia="Times New Roman"/>
                <w:sz w:val="28"/>
                <w:szCs w:val="28"/>
              </w:rPr>
            </w:pPr>
          </w:p>
          <w:p w:rsidR="00AD0F3A" w:rsidRDefault="00AD0F3A" w:rsidP="00AD0F3A">
            <w:pPr>
              <w:jc w:val="center"/>
              <w:rPr>
                <w:rFonts w:eastAsia="Times New Roman"/>
                <w:sz w:val="28"/>
                <w:szCs w:val="28"/>
              </w:rPr>
            </w:pPr>
          </w:p>
          <w:p w:rsidR="00AD0F3A" w:rsidRDefault="00AD0F3A" w:rsidP="00AD0F3A">
            <w:pPr>
              <w:jc w:val="center"/>
              <w:rPr>
                <w:sz w:val="22"/>
              </w:rPr>
            </w:pPr>
            <w:r w:rsidRPr="00AD0F3A">
              <w:rPr>
                <w:rFonts w:eastAsia="Times New Roman"/>
                <w:b/>
                <w:sz w:val="28"/>
                <w:szCs w:val="28"/>
              </w:rPr>
              <w:t>Cù Ngọc Trang</w:t>
            </w:r>
          </w:p>
        </w:tc>
      </w:tr>
    </w:tbl>
    <w:p w:rsidR="00AD0F3A" w:rsidRPr="00033BC8" w:rsidRDefault="00AD0F3A" w:rsidP="00895386">
      <w:pPr>
        <w:spacing w:after="0" w:line="240" w:lineRule="auto"/>
        <w:jc w:val="both"/>
        <w:rPr>
          <w:rFonts w:cs="Times New Roman"/>
          <w:sz w:val="22"/>
        </w:rPr>
      </w:pPr>
    </w:p>
    <w:p w:rsidR="00F33841" w:rsidRDefault="00F33841" w:rsidP="00012154">
      <w:pPr>
        <w:jc w:val="both"/>
      </w:pPr>
    </w:p>
    <w:sectPr w:rsidR="00F33841" w:rsidSect="000121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671B"/>
    <w:multiLevelType w:val="multilevel"/>
    <w:tmpl w:val="757CB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7792D"/>
    <w:multiLevelType w:val="multilevel"/>
    <w:tmpl w:val="14D6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50CD7"/>
    <w:multiLevelType w:val="multilevel"/>
    <w:tmpl w:val="8AD6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367EA"/>
    <w:multiLevelType w:val="multilevel"/>
    <w:tmpl w:val="A422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C8"/>
    <w:rsid w:val="00012154"/>
    <w:rsid w:val="00033BC8"/>
    <w:rsid w:val="00132EB6"/>
    <w:rsid w:val="001F4E01"/>
    <w:rsid w:val="00384117"/>
    <w:rsid w:val="00404595"/>
    <w:rsid w:val="006563CE"/>
    <w:rsid w:val="00801DA8"/>
    <w:rsid w:val="00895386"/>
    <w:rsid w:val="00AD0F3A"/>
    <w:rsid w:val="00B04435"/>
    <w:rsid w:val="00E3566D"/>
    <w:rsid w:val="00F020C6"/>
    <w:rsid w:val="00F1659D"/>
    <w:rsid w:val="00F3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C3D45-2900-48DF-A690-DDE5A8F2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3BC8"/>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33BC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C8"/>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33BC8"/>
    <w:rPr>
      <w:rFonts w:eastAsia="Times New Roman" w:cs="Times New Roman"/>
      <w:b/>
      <w:bCs/>
      <w:sz w:val="36"/>
      <w:szCs w:val="36"/>
    </w:rPr>
  </w:style>
  <w:style w:type="paragraph" w:styleId="NormalWeb">
    <w:name w:val="Normal (Web)"/>
    <w:basedOn w:val="Normal"/>
    <w:uiPriority w:val="99"/>
    <w:semiHidden/>
    <w:unhideWhenUsed/>
    <w:rsid w:val="00033B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33BC8"/>
    <w:rPr>
      <w:b/>
      <w:bCs/>
    </w:rPr>
  </w:style>
  <w:style w:type="table" w:styleId="TableGrid">
    <w:name w:val="Table Grid"/>
    <w:basedOn w:val="TableNormal"/>
    <w:uiPriority w:val="39"/>
    <w:qFormat/>
    <w:rsid w:val="00E3566D"/>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NEW</cp:lastModifiedBy>
  <cp:revision>2</cp:revision>
  <dcterms:created xsi:type="dcterms:W3CDTF">2026-06-05T07:51:00Z</dcterms:created>
  <dcterms:modified xsi:type="dcterms:W3CDTF">2026-06-05T07:51:00Z</dcterms:modified>
</cp:coreProperties>
</file>